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LEGAL ADVICE TO ERIN CONCERNING ON ANY VALID AGREEMENTS MADE WITH DANNY, JOE OR FRANK.</w:t>
      </w:r>
    </w:p>
    <w:p w:rsidR="00000000" w:rsidDel="00000000" w:rsidP="00000000" w:rsidRDefault="00000000" w:rsidRPr="00000000" w14:paraId="00000002">
      <w:pPr>
        <w:spacing w:line="360" w:lineRule="auto"/>
        <w:ind w:left="0"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3">
      <w:pPr>
        <w:spacing w:line="360" w:lineRule="auto"/>
        <w:ind w:left="0"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INTRODUCTION</w:t>
      </w:r>
    </w:p>
    <w:p w:rsidR="00000000" w:rsidDel="00000000" w:rsidP="00000000" w:rsidRDefault="00000000" w:rsidRPr="00000000" w14:paraId="00000004">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agreement traditionally comprises an offer and its corresponding acceptance.</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Foundationally, for a valid agreement to be concluded, a period of negotiation of terms will precede. During this said period, the parties involved in the making of an agreement should be careful not to bind themselves inadvertently or prematurely at a time of intended understanding of the agreement.</w:t>
      </w:r>
      <w:r w:rsidDel="00000000" w:rsidR="00000000" w:rsidRPr="00000000">
        <w:rPr>
          <w:rFonts w:ascii="Calibri" w:cs="Calibri" w:eastAsia="Calibri" w:hAnsi="Calibri"/>
          <w:sz w:val="24"/>
          <w:szCs w:val="24"/>
          <w:vertAlign w:val="superscript"/>
        </w:rPr>
        <w:footnoteReference w:customMarkFollows="0" w:id="1"/>
      </w:r>
      <w:r w:rsidDel="00000000" w:rsidR="00000000" w:rsidRPr="00000000">
        <w:rPr>
          <w:rFonts w:ascii="Calibri" w:cs="Calibri" w:eastAsia="Calibri" w:hAnsi="Calibri"/>
          <w:sz w:val="24"/>
          <w:szCs w:val="24"/>
          <w:rtl w:val="0"/>
        </w:rPr>
        <w:t xml:space="preserve"> In other words, care should be measured to avoid liability. This essay aims to advise Erin on whether she has made any valid agreements with any offeror. Therefore, by resorting to basic contract law principles and relevant sources of case law, this essay will focus on determining and ascertaining the existence of a valid agreement between the offeree (Erin) and any offeror (Joe, Danny and Frank) with certainty. There will be an examination within this essay of each piece of correspondence in chronological order, so as to determine if any correspondence is capable in law to operate as an offer or acceptance and if such operations have been properly communicated in order to constitute a valid agreement.</w:t>
      </w:r>
      <w:r w:rsidDel="00000000" w:rsidR="00000000" w:rsidRPr="00000000">
        <w:rPr>
          <w:rFonts w:ascii="Calibri" w:cs="Calibri" w:eastAsia="Calibri" w:hAnsi="Calibri"/>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5">
      <w:pPr>
        <w:spacing w:line="360" w:lineRule="auto"/>
        <w:ind w:left="0" w:firstLine="720"/>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As per the limited stocks argument of </w:t>
      </w:r>
      <w:r w:rsidDel="00000000" w:rsidR="00000000" w:rsidRPr="00000000">
        <w:rPr>
          <w:rFonts w:ascii="Calibri" w:cs="Calibri" w:eastAsia="Calibri" w:hAnsi="Calibri"/>
          <w:i w:val="1"/>
          <w:sz w:val="24"/>
          <w:szCs w:val="24"/>
          <w:rtl w:val="0"/>
        </w:rPr>
        <w:t xml:space="preserve">Grainger</w:t>
      </w:r>
      <w:r w:rsidDel="00000000" w:rsidR="00000000" w:rsidRPr="00000000">
        <w:rPr>
          <w:rFonts w:ascii="Calibri" w:cs="Calibri" w:eastAsia="Calibri" w:hAnsi="Calibri"/>
          <w:sz w:val="24"/>
          <w:szCs w:val="24"/>
          <w:rtl w:val="0"/>
        </w:rPr>
        <w:t xml:space="preserve">, Erin has the overall control over any agreement to be made as the party considered by law to make the acceptance of an agreement.</w:t>
      </w:r>
      <w:r w:rsidDel="00000000" w:rsidR="00000000" w:rsidRPr="00000000">
        <w:rPr>
          <w:rFonts w:ascii="Calibri" w:cs="Calibri" w:eastAsia="Calibri" w:hAnsi="Calibri"/>
          <w:sz w:val="24"/>
          <w:szCs w:val="24"/>
          <w:vertAlign w:val="superscript"/>
        </w:rPr>
        <w:footnoteReference w:customMarkFollows="0" w:id="3"/>
      </w:r>
      <w:r w:rsidDel="00000000" w:rsidR="00000000" w:rsidRPr="00000000">
        <w:rPr>
          <w:rFonts w:ascii="Calibri" w:cs="Calibri" w:eastAsia="Calibri" w:hAnsi="Calibri"/>
          <w:sz w:val="24"/>
          <w:szCs w:val="24"/>
          <w:rtl w:val="0"/>
        </w:rPr>
        <w:t xml:space="preserve"> This is because, the Facebook post is an advertisement of a bilateral agreement (promise in exchange for a promise)</w:t>
      </w:r>
      <w:r w:rsidDel="00000000" w:rsidR="00000000" w:rsidRPr="00000000">
        <w:rPr>
          <w:rFonts w:ascii="Calibri" w:cs="Calibri" w:eastAsia="Calibri" w:hAnsi="Calibri"/>
          <w:sz w:val="24"/>
          <w:szCs w:val="24"/>
          <w:vertAlign w:val="superscript"/>
        </w:rPr>
        <w:footnoteReference w:customMarkFollows="0" w:id="4"/>
      </w:r>
      <w:r w:rsidDel="00000000" w:rsidR="00000000" w:rsidRPr="00000000">
        <w:rPr>
          <w:rFonts w:ascii="Calibri" w:cs="Calibri" w:eastAsia="Calibri" w:hAnsi="Calibri"/>
          <w:sz w:val="24"/>
          <w:szCs w:val="24"/>
          <w:rtl w:val="0"/>
        </w:rPr>
        <w:t xml:space="preserve"> of a vintage Morris Minor car in exchange for £55,000, which she as an offeree wishes to undertake by an invitation to treat with potential buyers like Danny, Frank and Joe.</w:t>
      </w:r>
      <w:r w:rsidDel="00000000" w:rsidR="00000000" w:rsidRPr="00000000">
        <w:rPr>
          <w:rFonts w:ascii="Calibri" w:cs="Calibri" w:eastAsia="Calibri" w:hAnsi="Calibri"/>
          <w:sz w:val="24"/>
          <w:szCs w:val="24"/>
          <w:vertAlign w:val="superscript"/>
        </w:rPr>
        <w:footnoteReference w:customMarkFollows="0" w:id="5"/>
      </w:r>
      <w:r w:rsidDel="00000000" w:rsidR="00000000" w:rsidRPr="00000000">
        <w:rPr>
          <w:rFonts w:ascii="Calibri" w:cs="Calibri" w:eastAsia="Calibri" w:hAnsi="Calibri"/>
          <w:sz w:val="24"/>
          <w:szCs w:val="24"/>
          <w:rtl w:val="0"/>
        </w:rPr>
        <w:t xml:space="preserve"> Necessary care is hence implied by law to avoid liability and thus, such posts can be made to a person, or a group of people as per authority held in </w:t>
      </w:r>
      <w:r w:rsidDel="00000000" w:rsidR="00000000" w:rsidRPr="00000000">
        <w:rPr>
          <w:rFonts w:ascii="Calibri" w:cs="Calibri" w:eastAsia="Calibri" w:hAnsi="Calibri"/>
          <w:i w:val="1"/>
          <w:sz w:val="24"/>
          <w:szCs w:val="24"/>
          <w:rtl w:val="0"/>
        </w:rPr>
        <w:t xml:space="preserve">Carlill v Carbolic Smoke Ball Company Ltd</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06">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the context of law, such bilateral agreements are normally viewed as an invitation to treat,</w:t>
      </w:r>
      <w:r w:rsidDel="00000000" w:rsidR="00000000" w:rsidRPr="00000000">
        <w:rPr>
          <w:rFonts w:ascii="Calibri" w:cs="Calibri" w:eastAsia="Calibri" w:hAnsi="Calibri"/>
          <w:sz w:val="24"/>
          <w:szCs w:val="24"/>
          <w:vertAlign w:val="superscript"/>
        </w:rPr>
        <w:footnoteReference w:customMarkFollows="0" w:id="7"/>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thus</w:t>
      </w:r>
      <w:r w:rsidDel="00000000" w:rsidR="00000000" w:rsidRPr="00000000">
        <w:rPr>
          <w:rFonts w:ascii="Calibri" w:cs="Calibri" w:eastAsia="Calibri" w:hAnsi="Calibri"/>
          <w:sz w:val="24"/>
          <w:szCs w:val="24"/>
          <w:rtl w:val="0"/>
        </w:rPr>
        <w:t xml:space="preserve">, Erin is not bound to supply when her “stock” is necessarily limited. It should therefore be undoubtedly assumed that she as the offeree prefered to make the final decision of whom to sell her car to, in order to avoid being inundated by acceptances that could not be fulfilled.</w:t>
      </w:r>
      <w:r w:rsidDel="00000000" w:rsidR="00000000" w:rsidRPr="00000000">
        <w:rPr>
          <w:rFonts w:ascii="Calibri" w:cs="Calibri" w:eastAsia="Calibri" w:hAnsi="Calibri"/>
          <w:sz w:val="24"/>
          <w:szCs w:val="24"/>
          <w:vertAlign w:val="superscript"/>
        </w:rPr>
        <w:footnoteReference w:customMarkFollows="0" w:id="8"/>
      </w:r>
      <w:r w:rsidDel="00000000" w:rsidR="00000000" w:rsidRPr="00000000">
        <w:rPr>
          <w:rFonts w:ascii="Calibri" w:cs="Calibri" w:eastAsia="Calibri" w:hAnsi="Calibri"/>
          <w:sz w:val="24"/>
          <w:szCs w:val="24"/>
          <w:rtl w:val="0"/>
        </w:rPr>
        <w:t xml:space="preserve"> As a consequence, any offer or promise from any offeror would be subjected to review, i.e. “all offers (will be) considered”. The language used also lacks the necessary firmness to even qualify or act as an offer on her behalf. This would have been a definite promise to be bound if accepted by an offeree,</w:t>
      </w:r>
      <w:r w:rsidDel="00000000" w:rsidR="00000000" w:rsidRPr="00000000">
        <w:rPr>
          <w:rFonts w:ascii="Calibri" w:cs="Calibri" w:eastAsia="Calibri" w:hAnsi="Calibri"/>
          <w:sz w:val="24"/>
          <w:szCs w:val="24"/>
          <w:vertAlign w:val="superscript"/>
        </w:rPr>
        <w:footnoteReference w:customMarkFollows="0" w:id="9"/>
      </w:r>
      <w:r w:rsidDel="00000000" w:rsidR="00000000" w:rsidRPr="00000000">
        <w:rPr>
          <w:rFonts w:ascii="Calibri" w:cs="Calibri" w:eastAsia="Calibri" w:hAnsi="Calibri"/>
          <w:sz w:val="24"/>
          <w:szCs w:val="24"/>
          <w:rtl w:val="0"/>
        </w:rPr>
        <w:t xml:space="preserve"> and thus an invitation to treat in law as part of a negotiating process.</w:t>
      </w:r>
      <w:r w:rsidDel="00000000" w:rsidR="00000000" w:rsidRPr="00000000">
        <w:rPr>
          <w:rFonts w:ascii="Calibri" w:cs="Calibri" w:eastAsia="Calibri" w:hAnsi="Calibri"/>
          <w:sz w:val="24"/>
          <w:szCs w:val="24"/>
          <w:vertAlign w:val="superscript"/>
        </w:rPr>
        <w:footnoteReference w:customMarkFollows="0" w:id="10"/>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line="360" w:lineRule="auto"/>
        <w:ind w:left="0" w:firstLine="0"/>
        <w:jc w:val="center"/>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u w:val="single"/>
          <w:rtl w:val="0"/>
        </w:rPr>
        <w:t xml:space="preserve">Joe v Erin</w:t>
      </w:r>
    </w:p>
    <w:p w:rsidR="00000000" w:rsidDel="00000000" w:rsidP="00000000" w:rsidRDefault="00000000" w:rsidRPr="00000000" w14:paraId="00000008">
      <w:pPr>
        <w:spacing w:after="240" w:before="240"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Primarily, there has been no agreement between the first offeror (Joe) and the offeree (Erin). Even though he has agreed to purchase the car for £55,000 at 4:30 pm on the 21st of September, it cannot be interpreted as an acceptance yet. This is as a result of the language used by Erin in her reply to his text from 10 am of that morning. Her communication with him had apprised him of who retains control in the acceptance of an agreement to be made. By simply informing him that she is “open to offers”, she has effectively conveyed and relayed to him that she will remain in control over any agreement to be made and thus, avoids a legally binding promise to him.</w:t>
      </w:r>
      <w:r w:rsidDel="00000000" w:rsidR="00000000" w:rsidRPr="00000000">
        <w:rPr>
          <w:rFonts w:ascii="Calibri" w:cs="Calibri" w:eastAsia="Calibri" w:hAnsi="Calibri"/>
          <w:sz w:val="24"/>
          <w:szCs w:val="24"/>
          <w:vertAlign w:val="superscript"/>
        </w:rPr>
        <w:footnoteReference w:customMarkFollows="0" w:id="11"/>
      </w:r>
      <w:r w:rsidDel="00000000" w:rsidR="00000000" w:rsidRPr="00000000">
        <w:rPr>
          <w:rFonts w:ascii="Calibri" w:cs="Calibri" w:eastAsia="Calibri" w:hAnsi="Calibri"/>
          <w:sz w:val="24"/>
          <w:szCs w:val="24"/>
          <w:rtl w:val="0"/>
        </w:rPr>
        <w:t xml:space="preserve"> However, should Erin choose to decide on whom to sell the car to using a “first come first serve” scenario, Joe’s promise may be the first to be considered, as it predates all other offers or promises made.</w:t>
      </w:r>
    </w:p>
    <w:p w:rsidR="00000000" w:rsidDel="00000000" w:rsidP="00000000" w:rsidRDefault="00000000" w:rsidRPr="00000000" w14:paraId="00000009">
      <w:pPr>
        <w:spacing w:after="240" w:before="240" w:line="360" w:lineRule="auto"/>
        <w:ind w:left="0"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Danny v Erin</w:t>
      </w:r>
    </w:p>
    <w:p w:rsidR="00000000" w:rsidDel="00000000" w:rsidP="00000000" w:rsidRDefault="00000000" w:rsidRPr="00000000" w14:paraId="0000000A">
      <w:pPr>
        <w:spacing w:after="240" w:before="240"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same token, there is no valid agreement between the second offeror (Danny) and Erin. Even though he has seen Erin's invitation to treat on Facebook and has made an offer by posting a letter of promise to be bound without more if she as the offeree agrees on the 18th of September,</w:t>
      </w:r>
      <w:r w:rsidDel="00000000" w:rsidR="00000000" w:rsidRPr="00000000">
        <w:rPr>
          <w:rFonts w:ascii="Calibri" w:cs="Calibri" w:eastAsia="Calibri" w:hAnsi="Calibri"/>
          <w:sz w:val="24"/>
          <w:szCs w:val="24"/>
          <w:vertAlign w:val="superscript"/>
        </w:rPr>
        <w:footnoteReference w:customMarkFollows="0" w:id="12"/>
      </w:r>
      <w:r w:rsidDel="00000000" w:rsidR="00000000" w:rsidRPr="00000000">
        <w:rPr>
          <w:rFonts w:ascii="Calibri" w:cs="Calibri" w:eastAsia="Calibri" w:hAnsi="Calibri"/>
          <w:sz w:val="24"/>
          <w:szCs w:val="24"/>
          <w:rtl w:val="0"/>
        </w:rPr>
        <w:t xml:space="preserve"> a communicated acceptance or rejection by Erin is still yet to be made to all the exact terms in the offer.</w:t>
      </w:r>
      <w:r w:rsidDel="00000000" w:rsidR="00000000" w:rsidRPr="00000000">
        <w:rPr>
          <w:rFonts w:ascii="Calibri" w:cs="Calibri" w:eastAsia="Calibri" w:hAnsi="Calibri"/>
          <w:sz w:val="24"/>
          <w:szCs w:val="24"/>
          <w:vertAlign w:val="superscript"/>
        </w:rPr>
        <w:footnoteReference w:customMarkFollows="0" w:id="13"/>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spacing w:after="240" w:before="240"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postal rule of acceptance can neither be used in the case of Danny’s post, owing to the fact that the rule only applies to a communicated acceptance and not that of a communicated offer.</w:t>
      </w:r>
      <w:r w:rsidDel="00000000" w:rsidR="00000000" w:rsidRPr="00000000">
        <w:rPr>
          <w:rFonts w:ascii="Calibri" w:cs="Calibri" w:eastAsia="Calibri" w:hAnsi="Calibri"/>
          <w:sz w:val="24"/>
          <w:szCs w:val="24"/>
          <w:vertAlign w:val="superscript"/>
        </w:rPr>
        <w:footnoteReference w:customMarkFollows="0" w:id="14"/>
      </w:r>
      <w:r w:rsidDel="00000000" w:rsidR="00000000" w:rsidRPr="00000000">
        <w:rPr>
          <w:rFonts w:ascii="Calibri" w:cs="Calibri" w:eastAsia="Calibri" w:hAnsi="Calibri"/>
          <w:sz w:val="24"/>
          <w:szCs w:val="24"/>
          <w:rtl w:val="0"/>
        </w:rPr>
        <w:t xml:space="preserve"> Nonetheless, as per the dispatch rule of </w:t>
      </w:r>
      <w:r w:rsidDel="00000000" w:rsidR="00000000" w:rsidRPr="00000000">
        <w:rPr>
          <w:rFonts w:ascii="Calibri" w:cs="Calibri" w:eastAsia="Calibri" w:hAnsi="Calibri"/>
          <w:i w:val="1"/>
          <w:sz w:val="24"/>
          <w:szCs w:val="24"/>
          <w:rtl w:val="0"/>
        </w:rPr>
        <w:t xml:space="preserve">Adams v Lindsell</w:t>
      </w:r>
      <w:r w:rsidDel="00000000" w:rsidR="00000000" w:rsidRPr="00000000">
        <w:rPr>
          <w:rFonts w:ascii="Calibri" w:cs="Calibri" w:eastAsia="Calibri" w:hAnsi="Calibri"/>
          <w:sz w:val="24"/>
          <w:szCs w:val="24"/>
          <w:rtl w:val="0"/>
        </w:rPr>
        <w:t xml:space="preserve">, Erin’s acceptance, should she accept, would be complete as soon as she chooses to respond to Danny’s offer or promise.</w:t>
      </w:r>
      <w:r w:rsidDel="00000000" w:rsidR="00000000" w:rsidRPr="00000000">
        <w:rPr>
          <w:rFonts w:ascii="Calibri" w:cs="Calibri" w:eastAsia="Calibri" w:hAnsi="Calibri"/>
          <w:sz w:val="24"/>
          <w:szCs w:val="24"/>
          <w:vertAlign w:val="superscript"/>
        </w:rPr>
        <w:footnoteReference w:customMarkFollows="0" w:id="15"/>
      </w:r>
      <w:r w:rsidDel="00000000" w:rsidR="00000000" w:rsidRPr="00000000">
        <w:rPr>
          <w:rFonts w:ascii="Calibri" w:cs="Calibri" w:eastAsia="Calibri" w:hAnsi="Calibri"/>
          <w:sz w:val="24"/>
          <w:szCs w:val="24"/>
          <w:rtl w:val="0"/>
        </w:rPr>
        <w:t xml:space="preserve"> A valid agreement would then be made, as both the offer and acceptance would have been communicated.</w:t>
      </w:r>
      <w:r w:rsidDel="00000000" w:rsidR="00000000" w:rsidRPr="00000000">
        <w:rPr>
          <w:rFonts w:ascii="Calibri" w:cs="Calibri" w:eastAsia="Calibri" w:hAnsi="Calibri"/>
          <w:sz w:val="24"/>
          <w:szCs w:val="24"/>
          <w:vertAlign w:val="superscript"/>
        </w:rPr>
        <w:footnoteReference w:customMarkFollows="0" w:id="16"/>
      </w:r>
      <w:r w:rsidDel="00000000" w:rsidR="00000000" w:rsidRPr="00000000">
        <w:rPr>
          <w:rFonts w:ascii="Calibri" w:cs="Calibri" w:eastAsia="Calibri" w:hAnsi="Calibri"/>
          <w:sz w:val="24"/>
          <w:szCs w:val="24"/>
          <w:rtl w:val="0"/>
        </w:rPr>
        <w:t xml:space="preserve">  Additionally, If Erin retrieves the letter which arrived in the post on the 22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of September, it will naturally then come second to the promise made between her and Joe and thus another offer to consider.</w:t>
      </w:r>
    </w:p>
    <w:p w:rsidR="00000000" w:rsidDel="00000000" w:rsidP="00000000" w:rsidRDefault="00000000" w:rsidRPr="00000000" w14:paraId="0000000C">
      <w:pPr>
        <w:spacing w:after="240" w:before="240" w:line="360" w:lineRule="auto"/>
        <w:ind w:left="0"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Frank v Erin</w:t>
      </w:r>
    </w:p>
    <w:p w:rsidR="00000000" w:rsidDel="00000000" w:rsidP="00000000" w:rsidRDefault="00000000" w:rsidRPr="00000000" w14:paraId="0000000D">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Lastly, in a similar fashion, there has been no valid agreement between the last offeror (Frank) and Erin. This is because all correspondences have been a battle of the forms, which refers to a common situation that arises when each prospective party attempts to incorporate its standard terms in an agreement.</w:t>
      </w:r>
      <w:r w:rsidDel="00000000" w:rsidR="00000000" w:rsidRPr="00000000">
        <w:rPr>
          <w:rFonts w:ascii="Calibri" w:cs="Calibri" w:eastAsia="Calibri" w:hAnsi="Calibri"/>
          <w:sz w:val="24"/>
          <w:szCs w:val="24"/>
          <w:vertAlign w:val="superscript"/>
        </w:rPr>
        <w:footnoteReference w:customMarkFollows="0" w:id="17"/>
      </w:r>
      <w:r w:rsidDel="00000000" w:rsidR="00000000" w:rsidRPr="00000000">
        <w:rPr>
          <w:rFonts w:ascii="Calibri" w:cs="Calibri" w:eastAsia="Calibri" w:hAnsi="Calibri"/>
          <w:sz w:val="24"/>
          <w:szCs w:val="24"/>
          <w:rtl w:val="0"/>
        </w:rPr>
        <w:t xml:space="preserve"> This refers to communications of counter-offers, which are the addition of new terms or the amendment of the existing term(s) in an offer.</w:t>
      </w:r>
      <w:r w:rsidDel="00000000" w:rsidR="00000000" w:rsidRPr="00000000">
        <w:rPr>
          <w:rFonts w:ascii="Calibri" w:cs="Calibri" w:eastAsia="Calibri" w:hAnsi="Calibri"/>
          <w:sz w:val="24"/>
          <w:szCs w:val="24"/>
          <w:vertAlign w:val="superscript"/>
        </w:rPr>
        <w:footnoteReference w:customMarkFollows="0" w:id="18"/>
      </w:r>
      <w:r w:rsidDel="00000000" w:rsidR="00000000" w:rsidRPr="00000000">
        <w:rPr>
          <w:rFonts w:ascii="Calibri" w:cs="Calibri" w:eastAsia="Calibri" w:hAnsi="Calibri"/>
          <w:sz w:val="24"/>
          <w:szCs w:val="24"/>
          <w:rtl w:val="0"/>
        </w:rPr>
        <w:t xml:space="preserve"> Even though Frank has made an initial offer of £45,000 to Erin on the 19th of September, Erin’s response on the 20th of September amends the offer by a request of £50,000, which consequently nullified his original offer.</w:t>
      </w:r>
      <w:r w:rsidDel="00000000" w:rsidR="00000000" w:rsidRPr="00000000">
        <w:rPr>
          <w:rFonts w:ascii="Calibri" w:cs="Calibri" w:eastAsia="Calibri" w:hAnsi="Calibri"/>
          <w:sz w:val="24"/>
          <w:szCs w:val="24"/>
          <w:vertAlign w:val="superscript"/>
        </w:rPr>
        <w:footnoteReference w:customMarkFollows="0" w:id="19"/>
      </w:r>
      <w:r w:rsidDel="00000000" w:rsidR="00000000" w:rsidRPr="00000000">
        <w:rPr>
          <w:rFonts w:ascii="Calibri" w:cs="Calibri" w:eastAsia="Calibri" w:hAnsi="Calibri"/>
          <w:sz w:val="24"/>
          <w:szCs w:val="24"/>
          <w:vertAlign w:val="superscript"/>
          <w:rtl w:val="0"/>
        </w:rPr>
        <w:t xml:space="preserve"> </w:t>
      </w:r>
      <w:r w:rsidDel="00000000" w:rsidR="00000000" w:rsidRPr="00000000">
        <w:rPr>
          <w:rFonts w:ascii="Calibri" w:cs="Calibri" w:eastAsia="Calibri" w:hAnsi="Calibri"/>
          <w:sz w:val="24"/>
          <w:szCs w:val="24"/>
          <w:rtl w:val="0"/>
        </w:rPr>
        <w:t xml:space="preserve"> However, her counter-offer is an offer he could have nevertheless accepted. As the language used by her would have suggested a definite proposition of willingness to be bound to the terms stated, to which would have resulted in a binding valid agreement between them upon the acceptance of Frank.</w:t>
      </w:r>
      <w:r w:rsidDel="00000000" w:rsidR="00000000" w:rsidRPr="00000000">
        <w:rPr>
          <w:rFonts w:ascii="Calibri" w:cs="Calibri" w:eastAsia="Calibri" w:hAnsi="Calibri"/>
          <w:sz w:val="24"/>
          <w:szCs w:val="24"/>
          <w:vertAlign w:val="superscript"/>
        </w:rPr>
        <w:footnoteReference w:customMarkFollows="0" w:id="20"/>
      </w:r>
      <w:r w:rsidDel="00000000" w:rsidR="00000000" w:rsidRPr="00000000">
        <w:rPr>
          <w:rFonts w:ascii="Calibri" w:cs="Calibri" w:eastAsia="Calibri" w:hAnsi="Calibri"/>
          <w:sz w:val="24"/>
          <w:szCs w:val="24"/>
          <w:rtl w:val="0"/>
        </w:rPr>
        <w:t xml:space="preserve"> It would have then been the “last shot fired” in the battle of the forms between them and could have been construed that she had finally chosen and decided to forgo her rights by law to make any other acceptance of any other offer.</w:t>
      </w:r>
      <w:r w:rsidDel="00000000" w:rsidR="00000000" w:rsidRPr="00000000">
        <w:rPr>
          <w:rFonts w:ascii="Calibri" w:cs="Calibri" w:eastAsia="Calibri" w:hAnsi="Calibri"/>
          <w:sz w:val="24"/>
          <w:szCs w:val="24"/>
          <w:vertAlign w:val="superscript"/>
        </w:rPr>
        <w:footnoteReference w:customMarkFollows="0" w:id="21"/>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Additionally, Frank could have requested for further information,</w:t>
      </w:r>
      <w:r w:rsidDel="00000000" w:rsidR="00000000" w:rsidRPr="00000000">
        <w:rPr>
          <w:rFonts w:ascii="Calibri" w:cs="Calibri" w:eastAsia="Calibri" w:hAnsi="Calibri"/>
          <w:sz w:val="24"/>
          <w:szCs w:val="24"/>
          <w:vertAlign w:val="superscript"/>
        </w:rPr>
        <w:footnoteReference w:customMarkFollows="0" w:id="22"/>
      </w:r>
      <w:r w:rsidDel="00000000" w:rsidR="00000000" w:rsidRPr="00000000">
        <w:rPr>
          <w:rFonts w:ascii="Calibri" w:cs="Calibri" w:eastAsia="Calibri" w:hAnsi="Calibri"/>
          <w:sz w:val="24"/>
          <w:szCs w:val="24"/>
          <w:rtl w:val="0"/>
        </w:rPr>
        <w:t xml:space="preserve"> which would have neither purported to accept nor sought to modify the existing term in Erin’s offer, and would have still been able to accept the promise from her. Instead, in requesting to pay £45,000 on the 20th of September and a further £5,000 the following month, Frank’s response rendered Erin’s offer void by the alteration of its exact term, to which Erin did not even respond to.</w:t>
      </w:r>
      <w:r w:rsidDel="00000000" w:rsidR="00000000" w:rsidRPr="00000000">
        <w:rPr>
          <w:rFonts w:ascii="Calibri" w:cs="Calibri" w:eastAsia="Calibri" w:hAnsi="Calibri"/>
          <w:sz w:val="24"/>
          <w:szCs w:val="24"/>
          <w:vertAlign w:val="superscript"/>
        </w:rPr>
        <w:footnoteReference w:customMarkFollows="0" w:id="23"/>
      </w:r>
      <w:r w:rsidDel="00000000" w:rsidR="00000000" w:rsidRPr="00000000">
        <w:rPr>
          <w:rFonts w:ascii="Calibri" w:cs="Calibri" w:eastAsia="Calibri" w:hAnsi="Calibri"/>
          <w:sz w:val="24"/>
          <w:szCs w:val="24"/>
          <w:rtl w:val="0"/>
        </w:rPr>
        <w:t xml:space="preserve"> Accordingly, his email to Erin on the 21st telling her to ignore his previous communication with her and his asserted desire to accept the price of £50,000 is moreover irrelevant, as he has already </w:t>
      </w:r>
      <w:r w:rsidDel="00000000" w:rsidR="00000000" w:rsidRPr="00000000">
        <w:rPr>
          <w:rFonts w:ascii="Calibri" w:cs="Calibri" w:eastAsia="Calibri" w:hAnsi="Calibri"/>
          <w:sz w:val="24"/>
          <w:szCs w:val="24"/>
          <w:rtl w:val="0"/>
        </w:rPr>
        <w:t xml:space="preserve">been in previous</w:t>
      </w:r>
      <w:r w:rsidDel="00000000" w:rsidR="00000000" w:rsidRPr="00000000">
        <w:rPr>
          <w:rFonts w:ascii="Calibri" w:cs="Calibri" w:eastAsia="Calibri" w:hAnsi="Calibri"/>
          <w:sz w:val="24"/>
          <w:szCs w:val="24"/>
          <w:rtl w:val="0"/>
        </w:rPr>
        <w:t xml:space="preserve"> communication with her. Hence, such correspondences can not be construed as any substantial offer nor acceptance, as there has been no meeting of minds for a valid agreement to be made.</w:t>
      </w:r>
    </w:p>
    <w:p w:rsidR="00000000" w:rsidDel="00000000" w:rsidP="00000000" w:rsidRDefault="00000000" w:rsidRPr="00000000" w14:paraId="0000000F">
      <w:pPr>
        <w:spacing w:line="360" w:lineRule="auto"/>
        <w:ind w:left="0"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CONCLUSION</w:t>
      </w:r>
    </w:p>
    <w:p w:rsidR="00000000" w:rsidDel="00000000" w:rsidP="00000000" w:rsidRDefault="00000000" w:rsidRPr="00000000" w14:paraId="00000010">
      <w:pPr>
        <w:spacing w:line="36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conclusion, by using the context of contract law principles and that of case law analysis, this essay has asserted and determined that there has been no existence of any valid agreement between neither offerors and Erin. This is a result of Erin’s advertisement which constituted an invitation to </w:t>
      </w:r>
      <w:r w:rsidDel="00000000" w:rsidR="00000000" w:rsidRPr="00000000">
        <w:rPr>
          <w:rFonts w:ascii="Calibri" w:cs="Calibri" w:eastAsia="Calibri" w:hAnsi="Calibri"/>
          <w:sz w:val="24"/>
          <w:szCs w:val="24"/>
          <w:rtl w:val="0"/>
        </w:rPr>
        <w:t xml:space="preserve">treat to others</w:t>
      </w:r>
      <w:r w:rsidDel="00000000" w:rsidR="00000000" w:rsidRPr="00000000">
        <w:rPr>
          <w:rFonts w:ascii="Calibri" w:cs="Calibri" w:eastAsia="Calibri" w:hAnsi="Calibri"/>
          <w:sz w:val="24"/>
          <w:szCs w:val="24"/>
          <w:rtl w:val="0"/>
        </w:rPr>
        <w:t xml:space="preserve">. Which merely represented a preliminary stage of negotiation to give rise to offers made by the offerors.</w:t>
      </w:r>
      <w:r w:rsidDel="00000000" w:rsidR="00000000" w:rsidRPr="00000000">
        <w:rPr>
          <w:rFonts w:ascii="Calibri" w:cs="Calibri" w:eastAsia="Calibri" w:hAnsi="Calibri"/>
          <w:sz w:val="24"/>
          <w:szCs w:val="24"/>
          <w:vertAlign w:val="superscript"/>
        </w:rPr>
        <w:footnoteReference w:customMarkFollows="0" w:id="24"/>
      </w:r>
      <w:r w:rsidDel="00000000" w:rsidR="00000000" w:rsidRPr="00000000">
        <w:rPr>
          <w:rFonts w:ascii="Calibri" w:cs="Calibri" w:eastAsia="Calibri" w:hAnsi="Calibri"/>
          <w:sz w:val="24"/>
          <w:szCs w:val="24"/>
          <w:rtl w:val="0"/>
        </w:rPr>
        <w:t xml:space="preserve"> Which is also in accordance to </w:t>
      </w:r>
      <w:r w:rsidDel="00000000" w:rsidR="00000000" w:rsidRPr="00000000">
        <w:rPr>
          <w:rFonts w:ascii="Calibri" w:cs="Calibri" w:eastAsia="Calibri" w:hAnsi="Calibri"/>
          <w:i w:val="1"/>
          <w:sz w:val="24"/>
          <w:szCs w:val="24"/>
          <w:rtl w:val="0"/>
        </w:rPr>
        <w:t xml:space="preserve">Entores</w:t>
      </w:r>
      <w:r w:rsidDel="00000000" w:rsidR="00000000" w:rsidRPr="00000000">
        <w:rPr>
          <w:rFonts w:ascii="Calibri" w:cs="Calibri" w:eastAsia="Calibri" w:hAnsi="Calibri"/>
          <w:sz w:val="24"/>
          <w:szCs w:val="24"/>
          <w:rtl w:val="0"/>
        </w:rPr>
        <w:t xml:space="preserve"> which expressed that any acceptance must be communicated as a general rule in order for an agreement to be valid, and to which has not been attained after any offer made thus far.</w:t>
      </w:r>
      <w:r w:rsidDel="00000000" w:rsidR="00000000" w:rsidRPr="00000000">
        <w:rPr>
          <w:rFonts w:ascii="Calibri" w:cs="Calibri" w:eastAsia="Calibri" w:hAnsi="Calibri"/>
          <w:sz w:val="24"/>
          <w:szCs w:val="24"/>
          <w:vertAlign w:val="superscript"/>
        </w:rPr>
        <w:footnoteReference w:customMarkFollows="0" w:id="25"/>
      </w:r>
      <w:r w:rsidDel="00000000" w:rsidR="00000000" w:rsidRPr="00000000">
        <w:rPr>
          <w:rFonts w:ascii="Calibri" w:cs="Calibri" w:eastAsia="Calibri" w:hAnsi="Calibri"/>
          <w:sz w:val="24"/>
          <w:szCs w:val="24"/>
          <w:rtl w:val="0"/>
        </w:rPr>
        <w:t xml:space="preserve"> However, ascertained by this essay, should Erin choose to make an acceptance to sell her car to any of the offerors, she should then choose an offer from the two potential offers she has received during the preliminary stage of negotiation between Joe and Danny.</w:t>
      </w:r>
    </w:p>
    <w:p w:rsidR="00000000" w:rsidDel="00000000" w:rsidP="00000000" w:rsidRDefault="00000000" w:rsidRPr="00000000" w14:paraId="00000011">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3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360" w:lineRule="auto"/>
        <w:ind w:lef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TABLE OF CASES</w:t>
      </w:r>
    </w:p>
    <w:p w:rsidR="00000000" w:rsidDel="00000000" w:rsidP="00000000" w:rsidRDefault="00000000" w:rsidRPr="00000000" w14:paraId="00000030">
      <w:pPr>
        <w:spacing w:line="360" w:lineRule="auto"/>
        <w:ind w:left="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Gibson v Manchester City Council [1979] 1 WLR 294</w:t>
      </w:r>
    </w:p>
    <w:p w:rsidR="00000000" w:rsidDel="00000000" w:rsidP="00000000" w:rsidRDefault="00000000" w:rsidRPr="00000000" w14:paraId="0000003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Grainger &amp; Son v Gough (1896) </w:t>
      </w:r>
    </w:p>
    <w:p w:rsidR="00000000" w:rsidDel="00000000" w:rsidP="00000000" w:rsidRDefault="00000000" w:rsidRPr="00000000" w14:paraId="0000003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Carlill v Carbolic Smokeball Company Ltd [1893] QB 256</w:t>
      </w:r>
    </w:p>
    <w:p w:rsidR="00000000" w:rsidDel="00000000" w:rsidP="00000000" w:rsidRDefault="00000000" w:rsidRPr="00000000" w14:paraId="0000003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Weeks v Tybald (1605) Noy 11</w:t>
      </w:r>
    </w:p>
    <w:p w:rsidR="00000000" w:rsidDel="00000000" w:rsidP="00000000" w:rsidRDefault="00000000" w:rsidRPr="00000000" w14:paraId="0000003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Fisher v Bell [1961] 1 QB 394</w:t>
      </w:r>
    </w:p>
    <w:p w:rsidR="00000000" w:rsidDel="00000000" w:rsidP="00000000" w:rsidRDefault="00000000" w:rsidRPr="00000000" w14:paraId="0000003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Partridge v Crittenden [1968] 1 WLR 1204</w:t>
      </w:r>
    </w:p>
    <w:p w:rsidR="00000000" w:rsidDel="00000000" w:rsidP="00000000" w:rsidRDefault="00000000" w:rsidRPr="00000000" w14:paraId="0000003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Entores v Miles Far East Corporation [1955] 2 QB 327 </w:t>
      </w:r>
    </w:p>
    <w:p w:rsidR="00000000" w:rsidDel="00000000" w:rsidP="00000000" w:rsidRDefault="00000000" w:rsidRPr="00000000" w14:paraId="0000003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Harvey v Facey [1893] AC 552 UKPC 1</w:t>
      </w:r>
    </w:p>
    <w:p w:rsidR="00000000" w:rsidDel="00000000" w:rsidP="00000000" w:rsidRDefault="00000000" w:rsidRPr="00000000" w14:paraId="0000003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Byrne &amp; Co v Leon Van </w:t>
      </w:r>
      <w:r w:rsidDel="00000000" w:rsidR="00000000" w:rsidRPr="00000000">
        <w:rPr>
          <w:rFonts w:ascii="Calibri" w:cs="Calibri" w:eastAsia="Calibri" w:hAnsi="Calibri"/>
          <w:sz w:val="24"/>
          <w:szCs w:val="24"/>
          <w:rtl w:val="0"/>
        </w:rPr>
        <w:t xml:space="preserve">Tien Hoven</w:t>
      </w:r>
      <w:r w:rsidDel="00000000" w:rsidR="00000000" w:rsidRPr="00000000">
        <w:rPr>
          <w:rFonts w:ascii="Calibri" w:cs="Calibri" w:eastAsia="Calibri" w:hAnsi="Calibri"/>
          <w:sz w:val="24"/>
          <w:szCs w:val="24"/>
          <w:rtl w:val="0"/>
        </w:rPr>
        <w:t xml:space="preserve"> &amp; Co [1880] 5 CPD 344</w:t>
      </w:r>
    </w:p>
    <w:p w:rsidR="00000000" w:rsidDel="00000000" w:rsidP="00000000" w:rsidRDefault="00000000" w:rsidRPr="00000000" w14:paraId="0000003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Adams v Lindsell (1818) 1 B &amp; ALD 681 </w:t>
      </w:r>
    </w:p>
    <w:p w:rsidR="00000000" w:rsidDel="00000000" w:rsidP="00000000" w:rsidRDefault="00000000" w:rsidRPr="00000000" w14:paraId="0000003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Storer v Manchester City Council [1974] 1 WLR 1403</w:t>
      </w:r>
    </w:p>
    <w:p w:rsidR="00000000" w:rsidDel="00000000" w:rsidP="00000000" w:rsidRDefault="00000000" w:rsidRPr="00000000" w14:paraId="0000003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Hyde v Wrench (1840) 49 ER 132 </w:t>
      </w:r>
    </w:p>
    <w:p w:rsidR="00000000" w:rsidDel="00000000" w:rsidP="00000000" w:rsidRDefault="00000000" w:rsidRPr="00000000" w14:paraId="0000003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Stevenson, Jacques &amp; Co v McLean (1880) 5 QBD 346</w:t>
      </w:r>
    </w:p>
    <w:p w:rsidR="00000000" w:rsidDel="00000000" w:rsidP="00000000" w:rsidRDefault="00000000" w:rsidRPr="00000000" w14:paraId="0000003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Harris v Nickerson (1872-73) L.R. 8 Q.B. 286</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Davies &amp; Co (Shopfitters) Ltd v William Old Ltd (1969) 67 LGR 395</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jc w:val="center"/>
        <w:rPr>
          <w:b w:val="1"/>
          <w:sz w:val="24"/>
          <w:szCs w:val="24"/>
        </w:rPr>
      </w:pPr>
      <w:r w:rsidDel="00000000" w:rsidR="00000000" w:rsidRPr="00000000">
        <w:rPr>
          <w:b w:val="1"/>
          <w:sz w:val="24"/>
          <w:szCs w:val="24"/>
          <w:rtl w:val="0"/>
        </w:rPr>
        <w:t xml:space="preserve">BIBLIOGRAPHY</w:t>
      </w:r>
    </w:p>
    <w:p w:rsidR="00000000" w:rsidDel="00000000" w:rsidP="00000000" w:rsidRDefault="00000000" w:rsidRPr="00000000" w14:paraId="0000004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4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Ewan McKendrick 'Contract Law' (13th edn, Macmillan Law Masters, 2019)</w:t>
      </w:r>
    </w:p>
    <w:p w:rsidR="00000000" w:rsidDel="00000000" w:rsidP="00000000" w:rsidRDefault="00000000" w:rsidRPr="00000000" w14:paraId="0000004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 Stone, 'The Modern Law of Contract' (12 edn, Routledge 2017) </w:t>
      </w:r>
    </w:p>
    <w:p w:rsidR="00000000" w:rsidDel="00000000" w:rsidP="00000000" w:rsidRDefault="00000000" w:rsidRPr="00000000" w14:paraId="0000004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Lord Steyn, 'Contract Law: Fulfilling  the Reasonable Expectations of Honest Men '(1997) 113 LQR 433, 441-442 </w:t>
      </w:r>
    </w:p>
    <w:p w:rsidR="00000000" w:rsidDel="00000000" w:rsidP="00000000" w:rsidRDefault="00000000" w:rsidRPr="00000000" w14:paraId="0000004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Oxford Dictionary of Law (9th edn, OUP 2017)</w:t>
      </w:r>
    </w:p>
    <w:p w:rsidR="00000000" w:rsidDel="00000000" w:rsidP="00000000" w:rsidRDefault="00000000" w:rsidRPr="00000000" w14:paraId="00000049">
      <w:pPr>
        <w:spacing w:line="36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Jowitt’s Dictionary of English Law (5 edn, Routledge 2017)</w:t>
      </w:r>
      <w:r w:rsidDel="00000000" w:rsidR="00000000" w:rsidRPr="00000000">
        <w:rPr>
          <w:rtl w:val="0"/>
        </w:rPr>
      </w:r>
    </w:p>
    <w:p w:rsidR="00000000" w:rsidDel="00000000" w:rsidP="00000000" w:rsidRDefault="00000000" w:rsidRPr="00000000" w14:paraId="0000004A">
      <w:pPr>
        <w:spacing w:line="360" w:lineRule="auto"/>
        <w:jc w:val="righ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B">
      <w:pPr>
        <w:spacing w:line="360" w:lineRule="auto"/>
        <w:jc w:val="righ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C">
      <w:pPr>
        <w:spacing w:line="360" w:lineRule="auto"/>
        <w:jc w:val="righ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D">
      <w:pPr>
        <w:spacing w:line="360" w:lineRule="auto"/>
        <w:jc w:val="righ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E">
      <w:pPr>
        <w:spacing w:line="360" w:lineRule="auto"/>
        <w:jc w:val="righ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Verdana" w:cs="Verdana" w:eastAsia="Verdana" w:hAnsi="Verdana"/>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0">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Gibson v Manchester City Council </w:t>
      </w:r>
      <w:r w:rsidDel="00000000" w:rsidR="00000000" w:rsidRPr="00000000">
        <w:rPr>
          <w:sz w:val="20"/>
          <w:szCs w:val="20"/>
          <w:rtl w:val="0"/>
        </w:rPr>
        <w:t xml:space="preserve">(1979).</w:t>
      </w:r>
    </w:p>
  </w:footnote>
  <w:footnote w:id="3">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Grainger &amp; Son v Gough</w:t>
      </w:r>
      <w:r w:rsidDel="00000000" w:rsidR="00000000" w:rsidRPr="00000000">
        <w:rPr>
          <w:sz w:val="20"/>
          <w:szCs w:val="20"/>
          <w:rtl w:val="0"/>
        </w:rPr>
        <w:t xml:space="preserve"> (1896).</w:t>
      </w:r>
    </w:p>
  </w:footnote>
  <w:footnote w:id="23">
    <w:p w:rsidR="00000000" w:rsidDel="00000000" w:rsidP="00000000" w:rsidRDefault="00000000" w:rsidRPr="00000000" w14:paraId="000000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sz w:val="20"/>
            <w:szCs w:val="20"/>
            <w:rtl w:val="0"/>
          </w:rPr>
          <w:t xml:space="preserve">Hyde v Wrench</w:t>
        </w:r>
      </w:hyperlink>
      <w:r w:rsidDel="00000000" w:rsidR="00000000" w:rsidRPr="00000000">
        <w:rPr>
          <w:sz w:val="20"/>
          <w:szCs w:val="20"/>
          <w:highlight w:val="white"/>
          <w:rtl w:val="0"/>
        </w:rPr>
        <w:t xml:space="preserve"> (1840) 49 ER 132.</w:t>
      </w:r>
      <w:r w:rsidDel="00000000" w:rsidR="00000000" w:rsidRPr="00000000">
        <w:rPr>
          <w:rtl w:val="0"/>
        </w:rPr>
      </w:r>
    </w:p>
  </w:footnote>
  <w:footnote w:id="0">
    <w:p w:rsidR="00000000" w:rsidDel="00000000" w:rsidP="00000000" w:rsidRDefault="00000000" w:rsidRPr="00000000" w14:paraId="000000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Gibson v Manchester City Council</w:t>
      </w:r>
      <w:r w:rsidDel="00000000" w:rsidR="00000000" w:rsidRPr="00000000">
        <w:rPr>
          <w:sz w:val="20"/>
          <w:szCs w:val="20"/>
          <w:rtl w:val="0"/>
        </w:rPr>
        <w:t xml:space="preserve"> [1979] 1 WLR 294.</w:t>
      </w:r>
    </w:p>
  </w:footnote>
  <w:footnote w:id="9">
    <w:p w:rsidR="00000000" w:rsidDel="00000000" w:rsidP="00000000" w:rsidRDefault="00000000" w:rsidRPr="00000000" w14:paraId="000000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Richard Stone</w:t>
      </w:r>
      <w:r w:rsidDel="00000000" w:rsidR="00000000" w:rsidRPr="00000000">
        <w:rPr>
          <w:i w:val="1"/>
          <w:sz w:val="20"/>
          <w:szCs w:val="20"/>
          <w:rtl w:val="0"/>
        </w:rPr>
        <w:t xml:space="preserve">, ‘The Modern Law of Contract’</w:t>
      </w:r>
      <w:r w:rsidDel="00000000" w:rsidR="00000000" w:rsidRPr="00000000">
        <w:rPr>
          <w:sz w:val="20"/>
          <w:szCs w:val="20"/>
          <w:rtl w:val="0"/>
        </w:rPr>
        <w:t xml:space="preserve"> (12 edn, Routledge 2017).</w:t>
      </w:r>
    </w:p>
  </w:footnote>
  <w:footnote w:id="19">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sz w:val="20"/>
            <w:szCs w:val="20"/>
            <w:rtl w:val="0"/>
          </w:rPr>
          <w:t xml:space="preserve">Hyde v Wrench</w:t>
        </w:r>
      </w:hyperlink>
      <w:r w:rsidDel="00000000" w:rsidR="00000000" w:rsidRPr="00000000">
        <w:rPr>
          <w:sz w:val="20"/>
          <w:szCs w:val="20"/>
          <w:highlight w:val="white"/>
          <w:rtl w:val="0"/>
        </w:rPr>
        <w:t xml:space="preserve"> (1840) 49 ER 132.</w:t>
      </w:r>
      <w:r w:rsidDel="00000000" w:rsidR="00000000" w:rsidRPr="00000000">
        <w:rPr>
          <w:rtl w:val="0"/>
        </w:rPr>
      </w:r>
    </w:p>
  </w:footnote>
  <w:footnote w:id="20">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Ewan McKendrick 'Contract Law' (13th edn, Macmillan Law Masters 2019) ; C</w:t>
      </w:r>
      <w:r w:rsidDel="00000000" w:rsidR="00000000" w:rsidRPr="00000000">
        <w:rPr>
          <w:i w:val="1"/>
          <w:sz w:val="20"/>
          <w:szCs w:val="20"/>
          <w:rtl w:val="0"/>
        </w:rPr>
        <w:t xml:space="preserve">arlill v Carbolic Smokeball Company Ltd</w:t>
      </w:r>
      <w:r w:rsidDel="00000000" w:rsidR="00000000" w:rsidRPr="00000000">
        <w:rPr>
          <w:sz w:val="20"/>
          <w:szCs w:val="20"/>
          <w:rtl w:val="0"/>
        </w:rPr>
        <w:t xml:space="preserve"> [1893] QB 256. 273  (Smith J).</w:t>
      </w:r>
    </w:p>
  </w:footnote>
  <w:footnote w:id="18">
    <w:p w:rsidR="00000000" w:rsidDel="00000000" w:rsidP="00000000" w:rsidRDefault="00000000" w:rsidRPr="00000000" w14:paraId="0000005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Storer v Manchester City Council </w:t>
      </w:r>
      <w:r w:rsidDel="00000000" w:rsidR="00000000" w:rsidRPr="00000000">
        <w:rPr>
          <w:sz w:val="20"/>
          <w:szCs w:val="20"/>
          <w:rtl w:val="0"/>
        </w:rPr>
        <w:t xml:space="preserve">[1974] 1 WLR 1403.</w:t>
      </w:r>
    </w:p>
  </w:footnote>
  <w:footnote w:id="22">
    <w:p w:rsidR="00000000" w:rsidDel="00000000" w:rsidP="00000000" w:rsidRDefault="00000000" w:rsidRPr="00000000" w14:paraId="0000005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Stevenson, Jacques &amp; Co v McLean </w:t>
      </w:r>
      <w:r w:rsidDel="00000000" w:rsidR="00000000" w:rsidRPr="00000000">
        <w:rPr>
          <w:sz w:val="20"/>
          <w:szCs w:val="20"/>
          <w:rtl w:val="0"/>
        </w:rPr>
        <w:t xml:space="preserve">(1880) 5 QBD 346. </w:t>
      </w:r>
    </w:p>
  </w:footnote>
  <w:footnote w:id="24">
    <w:p w:rsidR="00000000" w:rsidDel="00000000" w:rsidP="00000000" w:rsidRDefault="00000000" w:rsidRPr="00000000" w14:paraId="0000005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Grainger &amp; Son v Gough [1896] AC 325.</w:t>
      </w:r>
    </w:p>
  </w:footnote>
  <w:footnote w:id="11">
    <w:p w:rsidR="00000000" w:rsidDel="00000000" w:rsidP="00000000" w:rsidRDefault="00000000" w:rsidRPr="00000000" w14:paraId="000000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Gibson v Manchester City Council </w:t>
      </w:r>
      <w:r w:rsidDel="00000000" w:rsidR="00000000" w:rsidRPr="00000000">
        <w:rPr>
          <w:sz w:val="20"/>
          <w:szCs w:val="20"/>
          <w:rtl w:val="0"/>
        </w:rPr>
        <w:t xml:space="preserve">(1979).</w:t>
      </w:r>
    </w:p>
  </w:footnote>
  <w:footnote w:id="2">
    <w:p w:rsidR="00000000" w:rsidDel="00000000" w:rsidP="00000000" w:rsidRDefault="00000000" w:rsidRPr="00000000" w14:paraId="0000005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Ewan McKendrick </w:t>
      </w:r>
      <w:r w:rsidDel="00000000" w:rsidR="00000000" w:rsidRPr="00000000">
        <w:rPr>
          <w:i w:val="1"/>
          <w:sz w:val="20"/>
          <w:szCs w:val="20"/>
          <w:rtl w:val="0"/>
        </w:rPr>
        <w:t xml:space="preserve">‘Contract Law’ </w:t>
      </w:r>
      <w:r w:rsidDel="00000000" w:rsidR="00000000" w:rsidRPr="00000000">
        <w:rPr>
          <w:sz w:val="20"/>
          <w:szCs w:val="20"/>
          <w:rtl w:val="0"/>
        </w:rPr>
        <w:t xml:space="preserve">(13th edn, Macmillan Law Masters, 2019). </w:t>
      </w:r>
    </w:p>
  </w:footnote>
  <w:footnote w:id="7">
    <w:p w:rsidR="00000000" w:rsidDel="00000000" w:rsidP="00000000" w:rsidRDefault="00000000" w:rsidRPr="00000000" w14:paraId="0000005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Fisher v Bell </w:t>
      </w:r>
      <w:r w:rsidDel="00000000" w:rsidR="00000000" w:rsidRPr="00000000">
        <w:rPr>
          <w:sz w:val="20"/>
          <w:szCs w:val="20"/>
          <w:rtl w:val="0"/>
        </w:rPr>
        <w:t xml:space="preserve">[1961] 1QB 394.</w:t>
      </w:r>
    </w:p>
  </w:footnote>
  <w:footnote w:id="8">
    <w:p w:rsidR="00000000" w:rsidDel="00000000" w:rsidP="00000000" w:rsidRDefault="00000000" w:rsidRPr="00000000" w14:paraId="0000005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Partridge v Crittenden </w:t>
      </w:r>
      <w:r w:rsidDel="00000000" w:rsidR="00000000" w:rsidRPr="00000000">
        <w:rPr>
          <w:sz w:val="20"/>
          <w:szCs w:val="20"/>
          <w:rtl w:val="0"/>
        </w:rPr>
        <w:t xml:space="preserve">[1968] 1 WLR 1204.</w:t>
      </w:r>
    </w:p>
  </w:footnote>
  <w:footnote w:id="4">
    <w:p w:rsidR="00000000" w:rsidDel="00000000" w:rsidP="00000000" w:rsidRDefault="00000000" w:rsidRPr="00000000" w14:paraId="0000005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w:t>
      </w:r>
      <w:r w:rsidDel="00000000" w:rsidR="00000000" w:rsidRPr="00000000">
        <w:rPr>
          <w:i w:val="1"/>
          <w:sz w:val="20"/>
          <w:szCs w:val="20"/>
          <w:rtl w:val="0"/>
        </w:rPr>
        <w:t xml:space="preserve">arlill v Carbolic Smokeball Company Ltd</w:t>
      </w:r>
      <w:r w:rsidDel="00000000" w:rsidR="00000000" w:rsidRPr="00000000">
        <w:rPr>
          <w:sz w:val="20"/>
          <w:szCs w:val="20"/>
          <w:rtl w:val="0"/>
        </w:rPr>
        <w:t xml:space="preserve"> [1893] QB 256 ; Richard Stone (n 2) 43.</w:t>
      </w:r>
    </w:p>
  </w:footnote>
  <w:footnote w:id="5">
    <w:p w:rsidR="00000000" w:rsidDel="00000000" w:rsidP="00000000" w:rsidRDefault="00000000" w:rsidRPr="00000000" w14:paraId="0000005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Weeks v Tybald</w:t>
      </w:r>
      <w:r w:rsidDel="00000000" w:rsidR="00000000" w:rsidRPr="00000000">
        <w:rPr>
          <w:sz w:val="20"/>
          <w:szCs w:val="20"/>
          <w:rtl w:val="0"/>
        </w:rPr>
        <w:t xml:space="preserve"> (1605) Noy 11 ; </w:t>
      </w:r>
      <w:r w:rsidDel="00000000" w:rsidR="00000000" w:rsidRPr="00000000">
        <w:rPr>
          <w:i w:val="1"/>
          <w:sz w:val="20"/>
          <w:szCs w:val="20"/>
          <w:rtl w:val="0"/>
        </w:rPr>
        <w:t xml:space="preserve">Fisher v Bell</w:t>
      </w:r>
      <w:r w:rsidDel="00000000" w:rsidR="00000000" w:rsidRPr="00000000">
        <w:rPr>
          <w:sz w:val="20"/>
          <w:szCs w:val="20"/>
          <w:rtl w:val="0"/>
        </w:rPr>
        <w:t xml:space="preserve"> [1961] 1 QB 394.</w:t>
      </w:r>
    </w:p>
  </w:footnote>
  <w:footnote w:id="6">
    <w:p w:rsidR="00000000" w:rsidDel="00000000" w:rsidP="00000000" w:rsidRDefault="00000000" w:rsidRPr="00000000" w14:paraId="0000006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[1893] 1 QB 256).</w:t>
      </w:r>
    </w:p>
  </w:footnote>
  <w:footnote w:id="13">
    <w:p w:rsidR="00000000" w:rsidDel="00000000" w:rsidP="00000000" w:rsidRDefault="00000000" w:rsidRPr="00000000" w14:paraId="00000061">
      <w:pPr>
        <w:spacing w:line="240" w:lineRule="auto"/>
        <w:rPr>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 Entores v Miles Far East</w:t>
      </w:r>
      <w:r w:rsidDel="00000000" w:rsidR="00000000" w:rsidRPr="00000000">
        <w:rPr>
          <w:sz w:val="20"/>
          <w:szCs w:val="20"/>
          <w:rtl w:val="0"/>
        </w:rPr>
        <w:t xml:space="preserve"> </w:t>
      </w:r>
      <w:r w:rsidDel="00000000" w:rsidR="00000000" w:rsidRPr="00000000">
        <w:rPr>
          <w:i w:val="1"/>
          <w:sz w:val="20"/>
          <w:szCs w:val="20"/>
          <w:rtl w:val="0"/>
        </w:rPr>
        <w:t xml:space="preserve">Corporation  </w:t>
      </w:r>
      <w:r w:rsidDel="00000000" w:rsidR="00000000" w:rsidRPr="00000000">
        <w:rPr>
          <w:sz w:val="20"/>
          <w:szCs w:val="20"/>
          <w:highlight w:val="white"/>
          <w:rtl w:val="0"/>
        </w:rPr>
        <w:t xml:space="preserve">[1955] 2 QB 327.</w:t>
      </w:r>
      <w:r w:rsidDel="00000000" w:rsidR="00000000" w:rsidRPr="00000000">
        <w:rPr>
          <w:rtl w:val="0"/>
        </w:rPr>
      </w:r>
    </w:p>
  </w:footnote>
  <w:footnote w:id="16">
    <w:p w:rsidR="00000000" w:rsidDel="00000000" w:rsidP="00000000" w:rsidRDefault="00000000" w:rsidRPr="00000000" w14:paraId="0000006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Lord Steyn, '</w:t>
      </w:r>
      <w:r w:rsidDel="00000000" w:rsidR="00000000" w:rsidRPr="00000000">
        <w:rPr>
          <w:i w:val="1"/>
          <w:sz w:val="20"/>
          <w:szCs w:val="20"/>
          <w:rtl w:val="0"/>
        </w:rPr>
        <w:t xml:space="preserve">Contract Law: Fulfilling the Reasonable Expectations of Honest Men</w:t>
      </w:r>
      <w:r w:rsidDel="00000000" w:rsidR="00000000" w:rsidRPr="00000000">
        <w:rPr>
          <w:sz w:val="20"/>
          <w:szCs w:val="20"/>
          <w:rtl w:val="0"/>
        </w:rPr>
        <w:t xml:space="preserve">' (1997) 113 LQR 433, 441- 442.</w:t>
      </w:r>
    </w:p>
    <w:p w:rsidR="00000000" w:rsidDel="00000000" w:rsidP="00000000" w:rsidRDefault="00000000" w:rsidRPr="00000000" w14:paraId="00000063">
      <w:pPr>
        <w:spacing w:line="240" w:lineRule="auto"/>
        <w:rPr>
          <w:sz w:val="20"/>
          <w:szCs w:val="20"/>
        </w:rPr>
      </w:pPr>
      <w:r w:rsidDel="00000000" w:rsidR="00000000" w:rsidRPr="00000000">
        <w:rPr>
          <w:rtl w:val="0"/>
        </w:rPr>
      </w:r>
    </w:p>
  </w:footnote>
  <w:footnote w:id="14">
    <w:p w:rsidR="00000000" w:rsidDel="00000000" w:rsidP="00000000" w:rsidRDefault="00000000" w:rsidRPr="00000000" w14:paraId="0000006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Byrne &amp; Co v Leon Van </w:t>
      </w:r>
      <w:r w:rsidDel="00000000" w:rsidR="00000000" w:rsidRPr="00000000">
        <w:rPr>
          <w:i w:val="1"/>
          <w:sz w:val="20"/>
          <w:szCs w:val="20"/>
          <w:rtl w:val="0"/>
        </w:rPr>
        <w:t xml:space="preserve">Tien Hoven</w:t>
      </w:r>
      <w:r w:rsidDel="00000000" w:rsidR="00000000" w:rsidRPr="00000000">
        <w:rPr>
          <w:i w:val="1"/>
          <w:sz w:val="20"/>
          <w:szCs w:val="20"/>
          <w:rtl w:val="0"/>
        </w:rPr>
        <w:t xml:space="preserve"> &amp; Co</w:t>
      </w:r>
      <w:r w:rsidDel="00000000" w:rsidR="00000000" w:rsidRPr="00000000">
        <w:rPr>
          <w:sz w:val="20"/>
          <w:szCs w:val="20"/>
          <w:rtl w:val="0"/>
        </w:rPr>
        <w:t xml:space="preserve"> [1880] 5 CPD 344.</w:t>
      </w:r>
    </w:p>
  </w:footnote>
  <w:footnote w:id="15">
    <w:p w:rsidR="00000000" w:rsidDel="00000000" w:rsidP="00000000" w:rsidRDefault="00000000" w:rsidRPr="00000000" w14:paraId="0000006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(1818) 1 B &amp; ALD 681.</w:t>
      </w:r>
      <w:r w:rsidDel="00000000" w:rsidR="00000000" w:rsidRPr="00000000">
        <w:rPr>
          <w:rtl w:val="0"/>
        </w:rPr>
      </w:r>
    </w:p>
  </w:footnote>
  <w:footnote w:id="21">
    <w:p w:rsidR="00000000" w:rsidDel="00000000" w:rsidP="00000000" w:rsidRDefault="00000000" w:rsidRPr="00000000" w14:paraId="0000006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A Davies &amp; Co (Shopfitters) Ltd v William Old Ltd</w:t>
      </w:r>
      <w:r w:rsidDel="00000000" w:rsidR="00000000" w:rsidRPr="00000000">
        <w:rPr>
          <w:sz w:val="20"/>
          <w:szCs w:val="20"/>
          <w:rtl w:val="0"/>
        </w:rPr>
        <w:t xml:space="preserve"> (1969) 67 LGR 395</w:t>
      </w:r>
    </w:p>
  </w:footnote>
  <w:footnote w:id="1">
    <w:p w:rsidR="00000000" w:rsidDel="00000000" w:rsidP="00000000" w:rsidRDefault="00000000" w:rsidRPr="00000000" w14:paraId="0000006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Richard Stone</w:t>
      </w:r>
      <w:r w:rsidDel="00000000" w:rsidR="00000000" w:rsidRPr="00000000">
        <w:rPr>
          <w:i w:val="1"/>
          <w:sz w:val="20"/>
          <w:szCs w:val="20"/>
          <w:rtl w:val="0"/>
        </w:rPr>
        <w:t xml:space="preserve">, ‘The Modern Law of Contract’</w:t>
      </w:r>
      <w:r w:rsidDel="00000000" w:rsidR="00000000" w:rsidRPr="00000000">
        <w:rPr>
          <w:sz w:val="20"/>
          <w:szCs w:val="20"/>
          <w:rtl w:val="0"/>
        </w:rPr>
        <w:t xml:space="preserve"> (12 edn, Routledge 2017).</w:t>
      </w:r>
    </w:p>
  </w:footnote>
  <w:footnote w:id="17">
    <w:p w:rsidR="00000000" w:rsidDel="00000000" w:rsidP="00000000" w:rsidRDefault="00000000" w:rsidRPr="00000000" w14:paraId="0000006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Ewan McKendrick 'Contract Law' (13th edn, Macmillan Law Masters 2019) ; C</w:t>
      </w:r>
      <w:r w:rsidDel="00000000" w:rsidR="00000000" w:rsidRPr="00000000">
        <w:rPr>
          <w:i w:val="1"/>
          <w:sz w:val="20"/>
          <w:szCs w:val="20"/>
          <w:rtl w:val="0"/>
        </w:rPr>
        <w:t xml:space="preserve">arlill v Carbolic Smokeball Company Ltd</w:t>
      </w:r>
      <w:r w:rsidDel="00000000" w:rsidR="00000000" w:rsidRPr="00000000">
        <w:rPr>
          <w:sz w:val="20"/>
          <w:szCs w:val="20"/>
          <w:rtl w:val="0"/>
        </w:rPr>
        <w:t xml:space="preserve"> [1893] QB 256. 273  (Smith J).</w:t>
      </w:r>
    </w:p>
    <w:p w:rsidR="00000000" w:rsidDel="00000000" w:rsidP="00000000" w:rsidRDefault="00000000" w:rsidRPr="00000000" w14:paraId="00000069">
      <w:pPr>
        <w:spacing w:line="240" w:lineRule="auto"/>
        <w:rPr>
          <w:sz w:val="20"/>
          <w:szCs w:val="20"/>
        </w:rPr>
      </w:pPr>
      <w:r w:rsidDel="00000000" w:rsidR="00000000" w:rsidRPr="00000000">
        <w:rPr>
          <w:rtl w:val="0"/>
        </w:rPr>
      </w:r>
    </w:p>
  </w:footnote>
  <w:footnote w:id="12">
    <w:p w:rsidR="00000000" w:rsidDel="00000000" w:rsidP="00000000" w:rsidRDefault="00000000" w:rsidRPr="00000000" w14:paraId="0000006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Harvey v Facey</w:t>
      </w:r>
      <w:r w:rsidDel="00000000" w:rsidR="00000000" w:rsidRPr="00000000">
        <w:rPr>
          <w:sz w:val="20"/>
          <w:szCs w:val="20"/>
          <w:rtl w:val="0"/>
        </w:rPr>
        <w:t xml:space="preserve"> [1893] AC 552  UKPC 1.</w:t>
      </w:r>
    </w:p>
  </w:footnote>
  <w:footnote w:id="25">
    <w:p w:rsidR="00000000" w:rsidDel="00000000" w:rsidP="00000000" w:rsidRDefault="00000000" w:rsidRPr="00000000" w14:paraId="000000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Entores v Miles Far East </w:t>
      </w:r>
      <w:r w:rsidDel="00000000" w:rsidR="00000000" w:rsidRPr="00000000">
        <w:rPr>
          <w:sz w:val="20"/>
          <w:szCs w:val="20"/>
          <w:highlight w:val="white"/>
          <w:rtl w:val="0"/>
        </w:rPr>
        <w:t xml:space="preserve">[1955] 2 QB 327.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rFonts w:ascii="Verdana" w:cs="Verdana" w:eastAsia="Verdana" w:hAnsi="Verdan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ailii.org/ew/cases/EWHC/Ch/1840/J90.html" TargetMode="External"/><Relationship Id="rId2" Type="http://schemas.openxmlformats.org/officeDocument/2006/relationships/hyperlink" Target="http://www.bailii.org/ew/cases/EWHC/Ch/1840/J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qL6ohPtqeYGqZcn/iBhdhGbAA==">AMUW2mUFJc9wxE3tI55HTPMRaE3XiKmDXALNv7566axiaDlcgVm+5mpo8tzRBQeVD3PxszgmEeXtnDIy7HZoNTmEvmZVymCDuArY8hdGnbARUdV8vms6Rjc=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